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drawing>
          <wp:inline distT="0" distB="0" distL="0" distR="0">
            <wp:extent cx="1905000" cy="6572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905000" cy="657225"/>
                    </a:xfrm>
                    <a:prstGeom prst="rect">
                      <a:avLst/>
                    </a:prstGeom>
                  </pic:spPr>
                </pic:pic>
              </a:graphicData>
            </a:graphic>
          </wp:inline>
        </w:drawing>
      </w:r>
    </w:p>
    <w:p>
      <w:pPr>
        <w:spacing w:after="2400"/>
      </w:pPr>
    </w:p>
    <w:p>
      <w:pPr>
        <w:spacing w:after="120"/>
      </w:pPr>
      <w:r>
        <w:rPr>
          <w:rFonts w:ascii="Georgia" w:cs="Georgia" w:eastAsia="Georgia" w:hAnsi="Georgia"/>
          <w:b/>
          <w:bCs/>
          <w:i w:val="false"/>
          <w:iCs w:val="false"/>
          <w:color w:val="0A1633"/>
          <w:sz w:val="60"/>
          <w:szCs w:val="60"/>
        </w:rPr>
        <w:t xml:space="preserve">Opdracht Kennissponsor</w:t>
      </w:r>
    </w:p>
    <w:p>
      <w:pPr>
        <w:spacing w:after="80"/>
      </w:pPr>
      <w:r>
        <w:rPr>
          <w:rFonts w:ascii="Georgia" w:cs="Georgia" w:eastAsia="Georgia" w:hAnsi="Georgia"/>
          <w:b w:val="false"/>
          <w:bCs w:val="false"/>
          <w:i w:val="false"/>
          <w:iCs w:val="false"/>
          <w:color w:val="666666"/>
          <w:sz w:val="32"/>
          <w:szCs w:val="32"/>
        </w:rPr>
        <w:t xml:space="preserve">Miniproject Kennisoogst · AAVA Contextlaag</w:t>
      </w:r>
    </w:p>
    <w:p>
      <w:pPr>
        <w:spacing w:after="200"/>
      </w:pPr>
    </w:p>
    <w:p>
      <w:pPr>
        <w:spacing w:after="60"/>
      </w:pPr>
      <w:r>
        <w:rPr>
          <w:rFonts w:ascii="Calibri" w:cs="Calibri" w:eastAsia="Calibri" w:hAnsi="Calibri"/>
          <w:b w:val="false"/>
          <w:bCs w:val="false"/>
          <w:i w:val="false"/>
          <w:iCs w:val="false"/>
          <w:color w:val="666666"/>
          <w:sz w:val="24"/>
          <w:szCs w:val="24"/>
        </w:rPr>
        <w:t xml:space="preserve">Aareon Nederland</w:t>
      </w:r>
    </w:p>
    <w:p>
      <w:pPr>
        <w:spacing w:after="60"/>
      </w:pPr>
      <w:r>
        <w:rPr>
          <w:rFonts w:ascii="Calibri" w:cs="Calibri" w:eastAsia="Calibri" w:hAnsi="Calibri"/>
          <w:b w:val="false"/>
          <w:bCs w:val="false"/>
          <w:i w:val="false"/>
          <w:iCs w:val="false"/>
          <w:color w:val="666666"/>
          <w:sz w:val="24"/>
          <w:szCs w:val="24"/>
        </w:rPr>
        <w:t xml:space="preserve">Versie 1.0  |  Juli 2026</w:t>
      </w:r>
    </w:p>
    <w:p>
      <w:pPr>
        <w:spacing w:after="60"/>
      </w:pPr>
      <w:r>
        <w:rPr>
          <w:rFonts w:ascii="Calibri" w:cs="Calibri" w:eastAsia="Calibri" w:hAnsi="Calibri"/>
          <w:b w:val="false"/>
          <w:bCs w:val="false"/>
          <w:i w:val="false"/>
          <w:iCs w:val="false"/>
          <w:color w:val="666666"/>
          <w:sz w:val="24"/>
          <w:szCs w:val="24"/>
        </w:rPr>
        <w:t xml:space="preserve">Opgesteld door: Edwin Cnossen</w:t>
      </w:r>
    </w:p>
    <w:p>
      <w:pPr>
        <w:sectPr>
          <w:pgSz w:w="11906" w:h="16838" w:orient="portrait"/>
          <w:pgMar w:top="3402" w:right="1134" w:bottom="1700" w:left="1134" w:header="708" w:footer="708" w:gutter="0"/>
          <w:pgNumType/>
          <w:docGrid w:linePitch="360"/>
        </w:sectPr>
      </w:pPr>
    </w:p>
    <w:p>
      <w:pPr>
        <w:pStyle w:val="Heading1"/>
        <w:pBdr>
          <w:bottom w:val="single" w:color="3D6DF2" w:sz="4" w:space="6"/>
        </w:pBdr>
        <w:spacing w:after="160" w:before="400"/>
      </w:pPr>
      <w:r>
        <w:rPr>
          <w:rFonts w:ascii="Georgia" w:cs="Georgia" w:eastAsia="Georgia" w:hAnsi="Georgia"/>
          <w:b/>
          <w:bCs/>
          <w:i w:val="false"/>
          <w:iCs w:val="false"/>
          <w:color w:val="0A1633"/>
          <w:sz w:val="32"/>
          <w:szCs w:val="32"/>
        </w:rPr>
        <w:t xml:space="preserve">1. Waarom dit project</w:t>
      </w:r>
    </w:p>
    <w:p>
      <w:pPr>
        <w:spacing w:after="160" w:before="0"/>
        <w:jc w:val="left"/>
      </w:pPr>
      <w:r>
        <w:rPr>
          <w:rFonts w:ascii="Calibri" w:cs="Calibri" w:eastAsia="Calibri" w:hAnsi="Calibri"/>
          <w:b w:val="false"/>
          <w:bCs w:val="false"/>
          <w:i w:val="false"/>
          <w:iCs w:val="false"/>
          <w:color w:val="1F2637"/>
          <w:sz w:val="22"/>
          <w:szCs w:val="22"/>
        </w:rPr>
        <w:t xml:space="preserve">We bouwen aan een kennislaag voor onze revenue-organisatie: consultants, klantsuccesmanagers, accountmanagers en productmanagers van Embrace, ViaData en Aareon. Het doel: alle kennis over de sector, onze producten en onze klanten op een plek, doorzoekbaar en bruikbaar, zodat we sneller sterke RFP-antwoorden maken, het juiste gesprek met klanten voeren en verbeterpotentieel bij klanten eerder zien.</w:t>
      </w:r>
    </w:p>
    <w:p>
      <w:pPr>
        <w:spacing w:after="160" w:before="0"/>
        <w:jc w:val="left"/>
      </w:pPr>
      <w:r>
        <w:rPr>
          <w:rFonts w:ascii="Calibri" w:cs="Calibri" w:eastAsia="Calibri" w:hAnsi="Calibri"/>
          <w:b w:val="false"/>
          <w:bCs w:val="false"/>
          <w:i w:val="false"/>
          <w:iCs w:val="false"/>
          <w:color w:val="1F2637"/>
          <w:sz w:val="22"/>
          <w:szCs w:val="22"/>
        </w:rPr>
        <w:t xml:space="preserve">Het probleem dat we oplossen: onze kennis en klantbeelden zijn versnipperd over hoofden, mappen en systemen. Veel waardevol materiaal bestaat wel, maar niemand weet precies waar het staat, of het actueel is en van wie het is. Daarom starten we met de Kennisoogst: in zes weken gestructureerd verzamelen wat er al is.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single" w:color="DDDDDD" w:sz="1"/>
              <w:left w:val="single" w:color="3D6DF2" w:sz="8"/>
              <w:bottom w:val="single" w:color="DDDDDD" w:sz="1"/>
              <w:right w:val="single" w:color="DDDDDD" w:sz="1"/>
            </w:tcBorders>
            <w:shd w:fill="EEF2FE" w:val="clear"/>
            <w:tcMar>
              <w:top w:type="dxa" w:w="100"/>
              <w:left w:type="dxa" w:w="160"/>
              <w:bottom w:type="dxa" w:w="100"/>
              <w:right w:type="dxa" w:w="160"/>
            </w:tcMar>
          </w:tcPr>
          <w:p>
            <w:pPr>
              <w:spacing w:after="60"/>
            </w:pPr>
            <w:r>
              <w:rPr>
                <w:rFonts w:ascii="Calibri" w:cs="Calibri" w:eastAsia="Calibri" w:hAnsi="Calibri"/>
                <w:b/>
                <w:bCs/>
                <w:i w:val="false"/>
                <w:iCs w:val="false"/>
                <w:color w:val="3D6DF2"/>
                <w:sz w:val="20"/>
                <w:szCs w:val="20"/>
              </w:rPr>
              <w:t xml:space="preserve">Vertrouwelijk</w:t>
            </w:r>
          </w:p>
          <w:p>
            <w:r>
              <w:rPr>
                <w:rFonts w:ascii="Calibri" w:cs="Calibri" w:eastAsia="Calibri" w:hAnsi="Calibri"/>
                <w:b w:val="false"/>
                <w:bCs w:val="false"/>
                <w:i w:val="false"/>
                <w:iCs w:val="false"/>
                <w:color w:val="1F2637"/>
                <w:sz w:val="21"/>
                <w:szCs w:val="21"/>
              </w:rPr>
              <w:t xml:space="preserve">Dit is een intern initiatief in verkennende fase. Deel dit document en de oogst niet buiten de organisatie.</w:t>
            </w:r>
          </w:p>
        </w:tc>
      </w:tr>
    </w:tbl>
    <w:p>
      <w:pPr>
        <w:spacing w:after="200"/>
      </w:pPr>
    </w:p>
    <w:p>
      <w:pPr>
        <w:pStyle w:val="Heading1"/>
        <w:pBdr>
          <w:bottom w:val="single" w:color="3D6DF2" w:sz="4" w:space="6"/>
        </w:pBdr>
        <w:spacing w:after="160" w:before="400"/>
      </w:pPr>
      <w:r>
        <w:rPr>
          <w:rFonts w:ascii="Georgia" w:cs="Georgia" w:eastAsia="Georgia" w:hAnsi="Georgia"/>
          <w:b/>
          <w:bCs/>
          <w:i w:val="false"/>
          <w:iCs w:val="false"/>
          <w:color w:val="0A1633"/>
          <w:sz w:val="32"/>
          <w:szCs w:val="32"/>
        </w:rPr>
        <w:t xml:space="preserve">2. Jouw rol als kennissponsor</w:t>
      </w:r>
    </w:p>
    <w:p>
      <w:pPr>
        <w:spacing w:after="160" w:before="0"/>
        <w:jc w:val="left"/>
      </w:pPr>
      <w:r>
        <w:rPr>
          <w:rFonts w:ascii="Calibri" w:cs="Calibri" w:eastAsia="Calibri" w:hAnsi="Calibri"/>
          <w:b w:val="false"/>
          <w:bCs w:val="false"/>
          <w:i w:val="false"/>
          <w:iCs w:val="false"/>
          <w:color w:val="1F2637"/>
          <w:sz w:val="22"/>
          <w:szCs w:val="22"/>
        </w:rPr>
        <w:t xml:space="preserve">Voor jouw organisatie(onderdeel) ben jij het aanspreekpunt van de Kennisoogst. Dat betekent concreet:</w:t>
      </w:r>
    </w:p>
    <w:p>
      <w:pPr>
        <w:pStyle w:val="ListParagraph"/>
        <w:numPr>
          <w:ilvl w:val="0"/>
          <w:numId w:val="2"/>
        </w:numPr>
        <w:spacing w:after="80"/>
      </w:pPr>
      <w:r>
        <w:rPr>
          <w:rFonts w:ascii="Calibri" w:cs="Calibri" w:eastAsia="Calibri" w:hAnsi="Calibri"/>
          <w:b/>
          <w:bCs/>
          <w:i w:val="false"/>
          <w:iCs w:val="false"/>
          <w:color w:val="1F2637"/>
          <w:sz w:val="22"/>
          <w:szCs w:val="22"/>
        </w:rPr>
        <w:t xml:space="preserve">Inventariseren. </w:t>
      </w:r>
      <w:r>
        <w:rPr>
          <w:rFonts w:ascii="Calibri" w:cs="Calibri" w:eastAsia="Calibri" w:hAnsi="Calibri"/>
          <w:b w:val="false"/>
          <w:bCs w:val="false"/>
          <w:i w:val="false"/>
          <w:iCs w:val="false"/>
          <w:color w:val="1F2637"/>
          <w:sz w:val="22"/>
          <w:szCs w:val="22"/>
        </w:rPr>
        <w:t xml:space="preserve">Je vult de oogstlijst in dit document in (of laat die invullen door de juiste collega's).</w:t>
      </w:r>
    </w:p>
    <w:p>
      <w:pPr>
        <w:pStyle w:val="ListParagraph"/>
        <w:numPr>
          <w:ilvl w:val="0"/>
          <w:numId w:val="2"/>
        </w:numPr>
        <w:spacing w:after="80"/>
      </w:pPr>
      <w:r>
        <w:rPr>
          <w:rFonts w:ascii="Calibri" w:cs="Calibri" w:eastAsia="Calibri" w:hAnsi="Calibri"/>
          <w:b/>
          <w:bCs/>
          <w:i w:val="false"/>
          <w:iCs w:val="false"/>
          <w:color w:val="1F2637"/>
          <w:sz w:val="22"/>
          <w:szCs w:val="22"/>
        </w:rPr>
        <w:t xml:space="preserve">Aanleveren. </w:t>
      </w:r>
      <w:r>
        <w:rPr>
          <w:rFonts w:ascii="Calibri" w:cs="Calibri" w:eastAsia="Calibri" w:hAnsi="Calibri"/>
          <w:b w:val="false"/>
          <w:bCs w:val="false"/>
          <w:i w:val="false"/>
          <w:iCs w:val="false"/>
          <w:color w:val="1F2637"/>
          <w:sz w:val="22"/>
          <w:szCs w:val="22"/>
        </w:rPr>
        <w:t xml:space="preserve">Je zorgt dat de gevonden documenten op de afgesproken verzamelplek komen, met de gevraagde gegevens erbij.</w:t>
      </w:r>
    </w:p>
    <w:p>
      <w:pPr>
        <w:pStyle w:val="ListParagraph"/>
        <w:numPr>
          <w:ilvl w:val="0"/>
          <w:numId w:val="2"/>
        </w:numPr>
        <w:spacing w:after="80"/>
      </w:pPr>
      <w:r>
        <w:rPr>
          <w:rFonts w:ascii="Calibri" w:cs="Calibri" w:eastAsia="Calibri" w:hAnsi="Calibri"/>
          <w:b/>
          <w:bCs/>
          <w:i w:val="false"/>
          <w:iCs w:val="false"/>
          <w:color w:val="1F2637"/>
          <w:sz w:val="22"/>
          <w:szCs w:val="22"/>
        </w:rPr>
        <w:t xml:space="preserve">Vraagbaak. </w:t>
      </w:r>
      <w:r>
        <w:rPr>
          <w:rFonts w:ascii="Calibri" w:cs="Calibri" w:eastAsia="Calibri" w:hAnsi="Calibri"/>
          <w:b w:val="false"/>
          <w:bCs w:val="false"/>
          <w:i w:val="false"/>
          <w:iCs w:val="false"/>
          <w:color w:val="1F2637"/>
          <w:sz w:val="22"/>
          <w:szCs w:val="22"/>
        </w:rPr>
        <w:t xml:space="preserve">Je bent in de beoordelingsfase beschikbaar voor korte vragen over herkomst en actualiteit.</w:t>
      </w:r>
    </w:p>
    <w:p>
      <w:pPr>
        <w:spacing w:after="160" w:before="0"/>
        <w:jc w:val="left"/>
      </w:pPr>
      <w:r>
        <w:rPr>
          <w:rFonts w:ascii="Calibri" w:cs="Calibri" w:eastAsia="Calibri" w:hAnsi="Calibri"/>
          <w:b w:val="false"/>
          <w:bCs w:val="false"/>
          <w:i w:val="false"/>
          <w:iCs w:val="false"/>
          <w:color w:val="1F2637"/>
          <w:sz w:val="22"/>
          <w:szCs w:val="22"/>
        </w:rPr>
        <w:t xml:space="preserve">Verwachte tijdsinvestering: circa een dagdeel voor de inventarisatie, verspreid over twee weken, plus incidentele vragen daarna. Volledigheid gaat boven perfectie: liever een lijst met gaten dan een perfecte lijst die te laat komt.</w:t>
      </w:r>
    </w:p>
    <w:p>
      <w:pPr>
        <w:spacing w:after="200"/>
      </w:pPr>
    </w:p>
    <w:p>
      <w:pPr>
        <w:pStyle w:val="Heading1"/>
        <w:pBdr>
          <w:bottom w:val="single" w:color="3D6DF2" w:sz="4" w:space="6"/>
        </w:pBdr>
        <w:spacing w:after="160" w:before="400"/>
      </w:pPr>
      <w:r>
        <w:rPr>
          <w:rFonts w:ascii="Georgia" w:cs="Georgia" w:eastAsia="Georgia" w:hAnsi="Georgia"/>
          <w:b/>
          <w:bCs/>
          <w:i w:val="false"/>
          <w:iCs w:val="false"/>
          <w:color w:val="0A1633"/>
          <w:sz w:val="32"/>
          <w:szCs w:val="32"/>
        </w:rPr>
        <w:t xml:space="preserve">3. De opdracht in drie stappen</w:t>
      </w:r>
    </w:p>
    <w:p>
      <w:pPr>
        <w:spacing w:after="80" w:before="200"/>
      </w:pPr>
      <w:r>
        <w:rPr>
          <w:rFonts w:ascii="Calibri" w:cs="Calibri" w:eastAsia="Calibri" w:hAnsi="Calibri"/>
          <w:b/>
          <w:bCs/>
          <w:i w:val="false"/>
          <w:iCs w:val="false"/>
          <w:color w:val="0A1633"/>
          <w:sz w:val="22"/>
          <w:szCs w:val="22"/>
        </w:rPr>
        <w:t xml:space="preserve">Stap 1 — Inventariseer (week 1-2)</w:t>
      </w:r>
    </w:p>
    <w:p>
      <w:pPr>
        <w:spacing w:after="160" w:before="0"/>
        <w:jc w:val="left"/>
      </w:pPr>
      <w:r>
        <w:rPr>
          <w:rFonts w:ascii="Calibri" w:cs="Calibri" w:eastAsia="Calibri" w:hAnsi="Calibri"/>
          <w:b w:val="false"/>
          <w:bCs w:val="false"/>
          <w:i w:val="false"/>
          <w:iCs w:val="false"/>
          <w:color w:val="1F2637"/>
          <w:sz w:val="22"/>
          <w:szCs w:val="22"/>
        </w:rPr>
        <w:t xml:space="preserve">Loop de oogstlijst in hoofdstuk 4 door. Vul per kennisitem in: bestaat het bij ons, waar staat het, wie is de eigenaar, en is het actueel? Staat iets er niet bij maar lijkt het je waardevol? Voeg het toe.</w:t>
      </w:r>
    </w:p>
    <w:p>
      <w:pPr>
        <w:spacing w:after="80" w:before="200"/>
      </w:pPr>
      <w:r>
        <w:rPr>
          <w:rFonts w:ascii="Calibri" w:cs="Calibri" w:eastAsia="Calibri" w:hAnsi="Calibri"/>
          <w:b/>
          <w:bCs/>
          <w:i w:val="false"/>
          <w:iCs w:val="false"/>
          <w:color w:val="0A1633"/>
          <w:sz w:val="22"/>
          <w:szCs w:val="22"/>
        </w:rPr>
        <w:t xml:space="preserve">Stap 2 — Lever aan (week 3-4)</w:t>
      </w:r>
    </w:p>
    <w:p>
      <w:pPr>
        <w:spacing w:after="160" w:before="0"/>
        <w:jc w:val="left"/>
      </w:pPr>
      <w:r>
        <w:rPr>
          <w:rFonts w:ascii="Calibri" w:cs="Calibri" w:eastAsia="Calibri" w:hAnsi="Calibri"/>
          <w:b w:val="false"/>
          <w:bCs w:val="false"/>
          <w:i w:val="false"/>
          <w:iCs w:val="false"/>
          <w:color w:val="1F2637"/>
          <w:sz w:val="22"/>
          <w:szCs w:val="22"/>
        </w:rPr>
        <w:t xml:space="preserve">Verzamel de documenten (of links naar de vindplaats) op de centrale verzamelplek. Per item noteren we: bron, eigenaar, datum, en het label sector, product of klant. Dat laatste label is belangrijk: het bepaalt welke kennis later herbruikbaar is richting klanten en welke altijd intern blijft.</w:t>
      </w:r>
    </w:p>
    <w:p>
      <w:pPr>
        <w:spacing w:after="80" w:before="200"/>
      </w:pPr>
      <w:r>
        <w:rPr>
          <w:rFonts w:ascii="Calibri" w:cs="Calibri" w:eastAsia="Calibri" w:hAnsi="Calibri"/>
          <w:b/>
          <w:bCs/>
          <w:i w:val="false"/>
          <w:iCs w:val="false"/>
          <w:color w:val="0A1633"/>
          <w:sz w:val="22"/>
          <w:szCs w:val="22"/>
        </w:rPr>
        <w:t xml:space="preserve">Stap 3 — Denk mee bij de beoordeling (week 5-6)</w:t>
      </w:r>
    </w:p>
    <w:p>
      <w:pPr>
        <w:spacing w:after="160" w:before="0"/>
        <w:jc w:val="left"/>
      </w:pPr>
      <w:r>
        <w:rPr>
          <w:rFonts w:ascii="Calibri" w:cs="Calibri" w:eastAsia="Calibri" w:hAnsi="Calibri"/>
          <w:b w:val="false"/>
          <w:bCs w:val="false"/>
          <w:i w:val="false"/>
          <w:iCs w:val="false"/>
          <w:color w:val="1F2637"/>
          <w:sz w:val="22"/>
          <w:szCs w:val="22"/>
        </w:rPr>
        <w:t xml:space="preserve">Wij beoordelen de oogst op actualiteit, kwaliteit en dubbelingen, en doen een AVG-check op alles wat over klanten gaat. Jij krijgt gerichte vragen als iets onduidelijk is.</w:t>
      </w:r>
    </w:p>
    <w:p>
      <w:pPr>
        <w:spacing w:after="200"/>
      </w:pPr>
    </w:p>
    <w:p>
      <w:pPr>
        <w:pStyle w:val="Heading1"/>
        <w:pBdr>
          <w:bottom w:val="single" w:color="3D6DF2" w:sz="4" w:space="6"/>
        </w:pBdr>
        <w:spacing w:after="160" w:before="400"/>
      </w:pPr>
      <w:r>
        <w:rPr>
          <w:rFonts w:ascii="Georgia" w:cs="Georgia" w:eastAsia="Georgia" w:hAnsi="Georgia"/>
          <w:b/>
          <w:bCs/>
          <w:i w:val="false"/>
          <w:iCs w:val="false"/>
          <w:color w:val="0A1633"/>
          <w:sz w:val="32"/>
          <w:szCs w:val="32"/>
        </w:rPr>
        <w:t xml:space="preserve">4. De oogstlijst</w:t>
      </w:r>
    </w:p>
    <w:p>
      <w:pPr>
        <w:spacing w:after="160" w:before="0"/>
        <w:jc w:val="left"/>
      </w:pPr>
      <w:r>
        <w:rPr>
          <w:rFonts w:ascii="Calibri" w:cs="Calibri" w:eastAsia="Calibri" w:hAnsi="Calibri"/>
          <w:b w:val="false"/>
          <w:bCs w:val="false"/>
          <w:i w:val="false"/>
          <w:iCs w:val="false"/>
          <w:color w:val="1F2637"/>
          <w:sz w:val="22"/>
          <w:szCs w:val="22"/>
        </w:rPr>
        <w:t xml:space="preserve">Vul per rij in: waar staat het (systeem, map of naam collega), wie is eigenaar, en is het actueel (ja / nee / deels). Bestaat een item niet bij jouw organisatie? Zet er een streep.</w:t>
      </w:r>
    </w:p>
    <w:p>
      <w:pPr>
        <w:spacing w:after="120"/>
      </w:pPr>
    </w:p>
    <w:p>
      <w:pPr>
        <w:pStyle w:val="Heading2"/>
        <w:spacing w:after="100" w:before="280"/>
      </w:pPr>
      <w:r>
        <w:rPr>
          <w:rFonts w:ascii="Georgia" w:cs="Georgia" w:eastAsia="Georgia" w:hAnsi="Georgia"/>
          <w:b/>
          <w:bCs/>
          <w:i w:val="false"/>
          <w:iCs w:val="false"/>
          <w:color w:val="0A1633"/>
          <w:sz w:val="26"/>
          <w:szCs w:val="26"/>
        </w:rPr>
        <w:t xml:space="preserve">4.1  Commercieel antwoordmateriaal (hoogste prioriteit)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400"/>
        <w:gridCol w:w="2600"/>
        <w:gridCol w:w="1900"/>
        <w:gridCol w:w="1738"/>
      </w:tblGrid>
      <w:tr>
        <w:trPr>
          <w:tblHeader/>
        </w:trPr>
        <w:tc>
          <w:tcPr>
            <w:tcW w:type="dxa" w:w="3400"/>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Kennisitem</w:t>
            </w:r>
          </w:p>
        </w:tc>
        <w:tc>
          <w:tcPr>
            <w:tcW w:type="dxa" w:w="2600"/>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Waar staat het</w:t>
            </w:r>
          </w:p>
        </w:tc>
        <w:tc>
          <w:tcPr>
            <w:tcW w:type="dxa" w:w="1900"/>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Eigenaar</w:t>
            </w:r>
          </w:p>
        </w:tc>
        <w:tc>
          <w:tcPr>
            <w:tcW w:type="dxa" w:w="1738"/>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Actueel?</w:t>
            </w:r>
          </w:p>
        </w:tc>
      </w:tr>
      <w:tr>
        <w:trPr>
          <w:tblHeader w:val="false"/>
        </w:trPr>
        <w:tc>
          <w:tcPr>
            <w:tcW w:type="dxa" w:w="3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Ingevulde RFI's/RFP's, laatste 2-3 jaar (gewonnen)</w:t>
            </w:r>
          </w:p>
        </w:tc>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Ingevulde RFI's/RFP's, laatste 2-3 jaar (verloren)</w:t>
            </w:r>
          </w:p>
        </w:tc>
        <w:tc>
          <w:tcPr>
            <w:tcW w:type="dxa" w:w="26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PvE's van klanten + onze beantwoording</w:t>
            </w:r>
          </w:p>
        </w:tc>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Offertes en standaard-antwoordblokken</w:t>
            </w:r>
          </w:p>
        </w:tc>
        <w:tc>
          <w:tcPr>
            <w:tcW w:type="dxa" w:w="26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Win/loss-analyses en verloren-deal-redenen</w:t>
            </w:r>
          </w:p>
        </w:tc>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Eigen GPT's of AI-hulpjes van collega's (zie hoofdstuk 6)</w:t>
            </w:r>
          </w:p>
        </w:tc>
        <w:tc>
          <w:tcPr>
            <w:tcW w:type="dxa" w:w="26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bl>
    <w:p>
      <w:pPr>
        <w:spacing w:after="200"/>
      </w:pPr>
    </w:p>
    <w:p>
      <w:pPr>
        <w:pStyle w:val="Heading2"/>
        <w:spacing w:after="100" w:before="280"/>
      </w:pPr>
      <w:r>
        <w:rPr>
          <w:rFonts w:ascii="Georgia" w:cs="Georgia" w:eastAsia="Georgia" w:hAnsi="Georgia"/>
          <w:b/>
          <w:bCs/>
          <w:i w:val="false"/>
          <w:iCs w:val="false"/>
          <w:color w:val="0A1633"/>
          <w:sz w:val="26"/>
          <w:szCs w:val="26"/>
        </w:rPr>
        <w:t xml:space="preserve">4.2  Product- en dienstdocumentatie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400"/>
        <w:gridCol w:w="2600"/>
        <w:gridCol w:w="1900"/>
        <w:gridCol w:w="1738"/>
      </w:tblGrid>
      <w:tr>
        <w:trPr>
          <w:tblHeader/>
        </w:trPr>
        <w:tc>
          <w:tcPr>
            <w:tcW w:type="dxa" w:w="3400"/>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Kennisitem</w:t>
            </w:r>
          </w:p>
        </w:tc>
        <w:tc>
          <w:tcPr>
            <w:tcW w:type="dxa" w:w="2600"/>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Waar staat het</w:t>
            </w:r>
          </w:p>
        </w:tc>
        <w:tc>
          <w:tcPr>
            <w:tcW w:type="dxa" w:w="1900"/>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Eigenaar</w:t>
            </w:r>
          </w:p>
        </w:tc>
        <w:tc>
          <w:tcPr>
            <w:tcW w:type="dxa" w:w="1738"/>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Actueel?</w:t>
            </w:r>
          </w:p>
        </w:tc>
      </w:tr>
      <w:tr>
        <w:trPr>
          <w:tblHeader w:val="false"/>
        </w:trPr>
        <w:tc>
          <w:tcPr>
            <w:tcW w:type="dxa" w:w="3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Kennisbank (bijv. Zendesk) en release notes</w:t>
            </w:r>
          </w:p>
        </w:tc>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Roadmaps, productsheets, brochures</w:t>
            </w:r>
          </w:p>
        </w:tc>
        <w:tc>
          <w:tcPr>
            <w:tcW w:type="dxa" w:w="26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Implementatiehandleidingen en trainingsmateriaal</w:t>
            </w:r>
          </w:p>
        </w:tc>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Academy-/cursusmateriaal</w:t>
            </w:r>
          </w:p>
        </w:tc>
        <w:tc>
          <w:tcPr>
            <w:tcW w:type="dxa" w:w="26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API- en integratiedocumentatie, architectuurbeschrijvingen</w:t>
            </w:r>
          </w:p>
        </w:tc>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Prijs- en licentiemodellen (intern)</w:t>
            </w:r>
          </w:p>
        </w:tc>
        <w:tc>
          <w:tcPr>
            <w:tcW w:type="dxa" w:w="26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bl>
    <w:p>
      <w:pPr>
        <w:spacing w:after="200"/>
      </w:pPr>
    </w:p>
    <w:p>
      <w:pPr>
        <w:pStyle w:val="Heading2"/>
        <w:spacing w:after="100" w:before="280"/>
      </w:pPr>
      <w:r>
        <w:rPr>
          <w:rFonts w:ascii="Georgia" w:cs="Georgia" w:eastAsia="Georgia" w:hAnsi="Georgia"/>
          <w:b/>
          <w:bCs/>
          <w:i w:val="false"/>
          <w:iCs w:val="false"/>
          <w:color w:val="0A1633"/>
          <w:sz w:val="26"/>
          <w:szCs w:val="26"/>
        </w:rPr>
        <w:t xml:space="preserve">4.3  Consultancy-opleveringen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400"/>
        <w:gridCol w:w="2600"/>
        <w:gridCol w:w="1900"/>
        <w:gridCol w:w="1738"/>
      </w:tblGrid>
      <w:tr>
        <w:trPr>
          <w:tblHeader/>
        </w:trPr>
        <w:tc>
          <w:tcPr>
            <w:tcW w:type="dxa" w:w="3400"/>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Kennisitem</w:t>
            </w:r>
          </w:p>
        </w:tc>
        <w:tc>
          <w:tcPr>
            <w:tcW w:type="dxa" w:w="2600"/>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Waar staat het</w:t>
            </w:r>
          </w:p>
        </w:tc>
        <w:tc>
          <w:tcPr>
            <w:tcW w:type="dxa" w:w="1900"/>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Eigenaar</w:t>
            </w:r>
          </w:p>
        </w:tc>
        <w:tc>
          <w:tcPr>
            <w:tcW w:type="dxa" w:w="1738"/>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Actueel?</w:t>
            </w:r>
          </w:p>
        </w:tc>
      </w:tr>
      <w:tr>
        <w:trPr>
          <w:tblHeader w:val="false"/>
        </w:trPr>
        <w:tc>
          <w:tcPr>
            <w:tcW w:type="dxa" w:w="3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Adviesrapporten en implementatieplannen</w:t>
            </w:r>
          </w:p>
        </w:tc>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Fitgap-analyses</w:t>
            </w:r>
          </w:p>
        </w:tc>
        <w:tc>
          <w:tcPr>
            <w:tcW w:type="dxa" w:w="26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QBR-verslagen, gezondheidschecks, evaluaties</w:t>
            </w:r>
          </w:p>
        </w:tc>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Beslisbomen (o.a. intake)</w:t>
            </w:r>
          </w:p>
        </w:tc>
        <w:tc>
          <w:tcPr>
            <w:tcW w:type="dxa" w:w="26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bl>
    <w:p>
      <w:pPr>
        <w:spacing w:after="200"/>
      </w:pPr>
    </w:p>
    <w:p>
      <w:pPr>
        <w:pStyle w:val="Heading2"/>
        <w:spacing w:after="100" w:before="280"/>
      </w:pPr>
      <w:r>
        <w:rPr>
          <w:rFonts w:ascii="Georgia" w:cs="Georgia" w:eastAsia="Georgia" w:hAnsi="Georgia"/>
          <w:b/>
          <w:bCs/>
          <w:i w:val="false"/>
          <w:iCs w:val="false"/>
          <w:color w:val="0A1633"/>
          <w:sz w:val="26"/>
          <w:szCs w:val="26"/>
        </w:rPr>
        <w:t xml:space="preserve">4.4  Klantcontext (blijft altijd intern)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400"/>
        <w:gridCol w:w="2600"/>
        <w:gridCol w:w="1900"/>
        <w:gridCol w:w="1738"/>
      </w:tblGrid>
      <w:tr>
        <w:trPr>
          <w:tblHeader/>
        </w:trPr>
        <w:tc>
          <w:tcPr>
            <w:tcW w:type="dxa" w:w="3400"/>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Kennisitem</w:t>
            </w:r>
          </w:p>
        </w:tc>
        <w:tc>
          <w:tcPr>
            <w:tcW w:type="dxa" w:w="2600"/>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Waar staat het</w:t>
            </w:r>
          </w:p>
        </w:tc>
        <w:tc>
          <w:tcPr>
            <w:tcW w:type="dxa" w:w="1900"/>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Eigenaar</w:t>
            </w:r>
          </w:p>
        </w:tc>
        <w:tc>
          <w:tcPr>
            <w:tcW w:type="dxa" w:w="1738"/>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Actueel?</w:t>
            </w:r>
          </w:p>
        </w:tc>
      </w:tr>
      <w:tr>
        <w:trPr>
          <w:tblHeader w:val="false"/>
        </w:trPr>
        <w:tc>
          <w:tcPr>
            <w:tcW w:type="dxa" w:w="3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CRM-gegevens: accounts, contacten, stakeholders</w:t>
            </w:r>
          </w:p>
        </w:tc>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Contract- en licentieoverzichten (wat gebruikt de klant)</w:t>
            </w:r>
          </w:p>
        </w:tc>
        <w:tc>
          <w:tcPr>
            <w:tcW w:type="dxa" w:w="26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Supporttickets en klachtenanalyses per klant</w:t>
            </w:r>
          </w:p>
        </w:tc>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NPS/KTV-onderzoeken</w:t>
            </w:r>
          </w:p>
        </w:tc>
        <w:tc>
          <w:tcPr>
            <w:tcW w:type="dxa" w:w="26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Gespreksverslagen van klantcontacten</w:t>
            </w:r>
          </w:p>
        </w:tc>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Klantwensenlijsten en prioriteringen</w:t>
            </w:r>
          </w:p>
        </w:tc>
        <w:tc>
          <w:tcPr>
            <w:tcW w:type="dxa" w:w="26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bl>
    <w:p>
      <w:pPr>
        <w:spacing w:after="200"/>
      </w:pPr>
    </w:p>
    <w:p>
      <w:pPr>
        <w:pStyle w:val="Heading2"/>
        <w:spacing w:after="100" w:before="280"/>
      </w:pPr>
      <w:r>
        <w:rPr>
          <w:rFonts w:ascii="Georgia" w:cs="Georgia" w:eastAsia="Georgia" w:hAnsi="Georgia"/>
          <w:b/>
          <w:bCs/>
          <w:i w:val="false"/>
          <w:iCs w:val="false"/>
          <w:color w:val="0A1633"/>
          <w:sz w:val="26"/>
          <w:szCs w:val="26"/>
        </w:rPr>
        <w:t xml:space="preserve">4.5  Sectorkennis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400"/>
        <w:gridCol w:w="2600"/>
        <w:gridCol w:w="1900"/>
        <w:gridCol w:w="1738"/>
      </w:tblGrid>
      <w:tr>
        <w:trPr>
          <w:tblHeader/>
        </w:trPr>
        <w:tc>
          <w:tcPr>
            <w:tcW w:type="dxa" w:w="3400"/>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Kennisitem</w:t>
            </w:r>
          </w:p>
        </w:tc>
        <w:tc>
          <w:tcPr>
            <w:tcW w:type="dxa" w:w="2600"/>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Waar staat het</w:t>
            </w:r>
          </w:p>
        </w:tc>
        <w:tc>
          <w:tcPr>
            <w:tcW w:type="dxa" w:w="1900"/>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Eigenaar</w:t>
            </w:r>
          </w:p>
        </w:tc>
        <w:tc>
          <w:tcPr>
            <w:tcW w:type="dxa" w:w="1738"/>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Actueel?</w:t>
            </w:r>
          </w:p>
        </w:tc>
      </w:tr>
      <w:tr>
        <w:trPr>
          <w:tblHeader w:val="false"/>
        </w:trPr>
        <w:tc>
          <w:tcPr>
            <w:tcW w:type="dxa" w:w="3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Aedes-publicaties, benchmarkmateriaal</w:t>
            </w:r>
          </w:p>
        </w:tc>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Procesbeschrijvingen (bijv. Aedes Processenboek)</w:t>
            </w:r>
          </w:p>
        </w:tc>
        <w:tc>
          <w:tcPr>
            <w:tcW w:type="dxa" w:w="26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Samenvattingen wet- en regelgeving</w:t>
            </w:r>
          </w:p>
        </w:tc>
        <w:tc>
          <w:tcPr>
            <w:tcW w:type="dxa" w:w="26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r>
        <w:trPr>
          <w:tblHeader w:val="false"/>
        </w:trPr>
        <w:tc>
          <w:tcPr>
            <w:tcW w:type="dxa" w:w="34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Datastandaarden (VERA, DICO, CORA)</w:t>
            </w:r>
          </w:p>
        </w:tc>
        <w:tc>
          <w:tcPr>
            <w:tcW w:type="dxa" w:w="26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9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c>
          <w:tcPr>
            <w:tcW w:type="dxa" w:w="1738"/>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
            </w:r>
          </w:p>
        </w:tc>
      </w:tr>
    </w:tbl>
    <w:p>
      <w:pPr>
        <w:spacing w:after="240"/>
      </w:pPr>
    </w:p>
    <w:p>
      <w:pPr>
        <w:pStyle w:val="Heading1"/>
        <w:pBdr>
          <w:bottom w:val="single" w:color="3D6DF2" w:sz="4" w:space="6"/>
        </w:pBdr>
        <w:spacing w:after="160" w:before="400"/>
      </w:pPr>
      <w:r>
        <w:rPr>
          <w:rFonts w:ascii="Georgia" w:cs="Georgia" w:eastAsia="Georgia" w:hAnsi="Georgia"/>
          <w:b/>
          <w:bCs/>
          <w:i w:val="false"/>
          <w:iCs w:val="false"/>
          <w:color w:val="0A1633"/>
          <w:sz w:val="32"/>
          <w:szCs w:val="32"/>
        </w:rPr>
        <w:t xml:space="preserve">5. Spelregels</w:t>
      </w:r>
    </w:p>
    <w:p>
      <w:pPr>
        <w:pStyle w:val="ListParagraph"/>
        <w:numPr>
          <w:ilvl w:val="0"/>
          <w:numId w:val="2"/>
        </w:numPr>
        <w:spacing w:after="80"/>
      </w:pPr>
      <w:r>
        <w:rPr>
          <w:rFonts w:ascii="Calibri" w:cs="Calibri" w:eastAsia="Calibri" w:hAnsi="Calibri"/>
          <w:b/>
          <w:bCs/>
          <w:i w:val="false"/>
          <w:iCs w:val="false"/>
          <w:color w:val="1F2637"/>
          <w:sz w:val="22"/>
          <w:szCs w:val="22"/>
        </w:rPr>
        <w:t xml:space="preserve">Vertrouwelijkheid. </w:t>
      </w:r>
      <w:r>
        <w:rPr>
          <w:rFonts w:ascii="Calibri" w:cs="Calibri" w:eastAsia="Calibri" w:hAnsi="Calibri"/>
          <w:b w:val="false"/>
          <w:bCs w:val="false"/>
          <w:i w:val="false"/>
          <w:iCs w:val="false"/>
          <w:color w:val="1F2637"/>
          <w:sz w:val="22"/>
          <w:szCs w:val="22"/>
        </w:rPr>
        <w:t xml:space="preserve">Alles wat over klanten gaat behandelen we vertrouwelijk; de AVG-check doen wij centraal in de beoordelingsfase.</w:t>
      </w:r>
    </w:p>
    <w:p>
      <w:pPr>
        <w:pStyle w:val="ListParagraph"/>
        <w:numPr>
          <w:ilvl w:val="0"/>
          <w:numId w:val="2"/>
        </w:numPr>
        <w:spacing w:after="80"/>
      </w:pPr>
      <w:r>
        <w:rPr>
          <w:rFonts w:ascii="Calibri" w:cs="Calibri" w:eastAsia="Calibri" w:hAnsi="Calibri"/>
          <w:b/>
          <w:bCs/>
          <w:i w:val="false"/>
          <w:iCs w:val="false"/>
          <w:color w:val="1F2637"/>
          <w:sz w:val="22"/>
          <w:szCs w:val="22"/>
        </w:rPr>
        <w:t xml:space="preserve">Geen kwaliteitsoordeel. </w:t>
      </w:r>
      <w:r>
        <w:rPr>
          <w:rFonts w:ascii="Calibri" w:cs="Calibri" w:eastAsia="Calibri" w:hAnsi="Calibri"/>
          <w:b w:val="false"/>
          <w:bCs w:val="false"/>
          <w:i w:val="false"/>
          <w:iCs w:val="false"/>
          <w:color w:val="1F2637"/>
          <w:sz w:val="22"/>
          <w:szCs w:val="22"/>
        </w:rPr>
        <w:t xml:space="preserve">Je hoeft niets te herschrijven of op te schonen. We willen het materiaal zoals het is; curatie komt later.</w:t>
      </w:r>
    </w:p>
    <w:p>
      <w:pPr>
        <w:pStyle w:val="ListParagraph"/>
        <w:numPr>
          <w:ilvl w:val="0"/>
          <w:numId w:val="2"/>
        </w:numPr>
        <w:spacing w:after="80"/>
      </w:pPr>
      <w:r>
        <w:rPr>
          <w:rFonts w:ascii="Calibri" w:cs="Calibri" w:eastAsia="Calibri" w:hAnsi="Calibri"/>
          <w:b/>
          <w:bCs/>
          <w:i w:val="false"/>
          <w:iCs w:val="false"/>
          <w:color w:val="1F2637"/>
          <w:sz w:val="22"/>
          <w:szCs w:val="22"/>
        </w:rPr>
        <w:t xml:space="preserve">Bij twijfel: oogsten. </w:t>
      </w:r>
      <w:r>
        <w:rPr>
          <w:rFonts w:ascii="Calibri" w:cs="Calibri" w:eastAsia="Calibri" w:hAnsi="Calibri"/>
          <w:b w:val="false"/>
          <w:bCs w:val="false"/>
          <w:i w:val="false"/>
          <w:iCs w:val="false"/>
          <w:color w:val="1F2637"/>
          <w:sz w:val="22"/>
          <w:szCs w:val="22"/>
        </w:rPr>
        <w:t xml:space="preserve">Twijfel je of iets relevant is? Aanleveren. Weglaten kan altijd nog.</w:t>
      </w:r>
    </w:p>
    <w:p>
      <w:pPr>
        <w:pStyle w:val="ListParagraph"/>
        <w:numPr>
          <w:ilvl w:val="0"/>
          <w:numId w:val="2"/>
        </w:numPr>
        <w:spacing w:after="80"/>
      </w:pPr>
      <w:r>
        <w:rPr>
          <w:rFonts w:ascii="Calibri" w:cs="Calibri" w:eastAsia="Calibri" w:hAnsi="Calibri"/>
          <w:b/>
          <w:bCs/>
          <w:i w:val="false"/>
          <w:iCs w:val="false"/>
          <w:color w:val="1F2637"/>
          <w:sz w:val="22"/>
          <w:szCs w:val="22"/>
        </w:rPr>
        <w:t xml:space="preserve">Herkomst. </w:t>
      </w:r>
      <w:r>
        <w:rPr>
          <w:rFonts w:ascii="Calibri" w:cs="Calibri" w:eastAsia="Calibri" w:hAnsi="Calibri"/>
          <w:b w:val="false"/>
          <w:bCs w:val="false"/>
          <w:i w:val="false"/>
          <w:iCs w:val="false"/>
          <w:color w:val="1F2637"/>
          <w:sz w:val="22"/>
          <w:szCs w:val="22"/>
        </w:rPr>
        <w:t xml:space="preserve">Documenten van klanten (zoals PvE's) leveren we aan met bronvermelding, zodat we per stuk kunnen beoordelen wat we ermee mogen.</w:t>
      </w:r>
    </w:p>
    <w:p>
      <w:pPr>
        <w:spacing w:after="200"/>
      </w:pPr>
    </w:p>
    <w:p>
      <w:pPr>
        <w:pStyle w:val="Heading1"/>
        <w:pBdr>
          <w:bottom w:val="single" w:color="3D6DF2" w:sz="4" w:space="6"/>
        </w:pBdr>
        <w:spacing w:after="160" w:before="400"/>
      </w:pPr>
      <w:r>
        <w:rPr>
          <w:rFonts w:ascii="Georgia" w:cs="Georgia" w:eastAsia="Georgia" w:hAnsi="Georgia"/>
          <w:b/>
          <w:bCs/>
          <w:i w:val="false"/>
          <w:iCs w:val="false"/>
          <w:color w:val="0A1633"/>
          <w:sz w:val="32"/>
          <w:szCs w:val="32"/>
        </w:rPr>
        <w:t xml:space="preserve">6. Speciaal verzoek aan accountmanagers: exporteer je eigen GPT's</w:t>
      </w:r>
    </w:p>
    <w:p>
      <w:pPr>
        <w:spacing w:after="160" w:before="0"/>
        <w:jc w:val="left"/>
      </w:pPr>
      <w:r>
        <w:rPr>
          <w:rFonts w:ascii="Calibri" w:cs="Calibri" w:eastAsia="Calibri" w:hAnsi="Calibri"/>
          <w:b w:val="false"/>
          <w:bCs w:val="false"/>
          <w:i w:val="false"/>
          <w:iCs w:val="false"/>
          <w:color w:val="1F2637"/>
          <w:sz w:val="22"/>
          <w:szCs w:val="22"/>
        </w:rPr>
        <w:t xml:space="preserve">Verschillende collega's hebben eigen GPT's in ChatGPT (of vergelijkbare hulpjes in Claude) gebouwd voor offertes en RFP's. Die bevatten precies de kennis die de kennislaag nodig heeft, en die kennis verdampt zodra iemand zijn GPT opruimt of vertrekt. Daarom het verzoek:</w:t>
      </w:r>
    </w:p>
    <w:p>
      <w:pPr>
        <w:pStyle w:val="ListParagraph"/>
        <w:numPr>
          <w:ilvl w:val="0"/>
          <w:numId w:val="2"/>
        </w:numPr>
        <w:spacing w:after="80"/>
      </w:pPr>
      <w:r>
        <w:rPr>
          <w:rFonts w:ascii="Calibri" w:cs="Calibri" w:eastAsia="Calibri" w:hAnsi="Calibri"/>
          <w:b w:val="false"/>
          <w:bCs w:val="false"/>
          <w:i w:val="false"/>
          <w:iCs w:val="false"/>
          <w:color w:val="1F2637"/>
          <w:sz w:val="22"/>
          <w:szCs w:val="22"/>
        </w:rPr>
        <w:t xml:space="preserve">Open in ChatGPT je eigen GPT via 'Mijn GPT's' en klik op bewerken.</w:t>
      </w:r>
    </w:p>
    <w:p>
      <w:pPr>
        <w:pStyle w:val="ListParagraph"/>
        <w:numPr>
          <w:ilvl w:val="0"/>
          <w:numId w:val="2"/>
        </w:numPr>
        <w:spacing w:after="80"/>
      </w:pPr>
      <w:r>
        <w:rPr>
          <w:rFonts w:ascii="Calibri" w:cs="Calibri" w:eastAsia="Calibri" w:hAnsi="Calibri"/>
          <w:b w:val="false"/>
          <w:bCs w:val="false"/>
          <w:i w:val="false"/>
          <w:iCs w:val="false"/>
          <w:color w:val="1F2637"/>
          <w:sz w:val="22"/>
          <w:szCs w:val="22"/>
        </w:rPr>
        <w:t xml:space="preserve">Kopieer de volledige instructietekst naar een Word- of tekstbestand.</w:t>
      </w:r>
    </w:p>
    <w:p>
      <w:pPr>
        <w:pStyle w:val="ListParagraph"/>
        <w:numPr>
          <w:ilvl w:val="0"/>
          <w:numId w:val="2"/>
        </w:numPr>
        <w:spacing w:after="80"/>
      </w:pPr>
      <w:r>
        <w:rPr>
          <w:rFonts w:ascii="Calibri" w:cs="Calibri" w:eastAsia="Calibri" w:hAnsi="Calibri"/>
          <w:b w:val="false"/>
          <w:bCs w:val="false"/>
          <w:i w:val="false"/>
          <w:iCs w:val="false"/>
          <w:color w:val="1F2637"/>
          <w:sz w:val="22"/>
          <w:szCs w:val="22"/>
        </w:rPr>
        <w:t xml:space="preserve">Verzamel de bestanden die je aan de GPT hebt toegevoegd (de originelen volstaan).</w:t>
      </w:r>
    </w:p>
    <w:p>
      <w:pPr>
        <w:pStyle w:val="ListParagraph"/>
        <w:numPr>
          <w:ilvl w:val="0"/>
          <w:numId w:val="2"/>
        </w:numPr>
        <w:spacing w:after="80"/>
      </w:pPr>
      <w:r>
        <w:rPr>
          <w:rFonts w:ascii="Calibri" w:cs="Calibri" w:eastAsia="Calibri" w:hAnsi="Calibri"/>
          <w:b w:val="false"/>
          <w:bCs w:val="false"/>
          <w:i w:val="false"/>
          <w:iCs w:val="false"/>
          <w:color w:val="1F2637"/>
          <w:sz w:val="22"/>
          <w:szCs w:val="22"/>
        </w:rPr>
        <w:t xml:space="preserve">Lever instructies plus bestanden aan op de verzamelplek, met je naam en waarvoor je de GPT gebruikt.</w:t>
      </w:r>
    </w:p>
    <w:p>
      <w:pPr>
        <w:spacing w:after="200"/>
      </w:pPr>
    </w:p>
    <w:p>
      <w:pPr>
        <w:pStyle w:val="Heading1"/>
        <w:pBdr>
          <w:bottom w:val="single" w:color="3D6DF2" w:sz="4" w:space="6"/>
        </w:pBdr>
        <w:spacing w:after="160" w:before="400"/>
      </w:pPr>
      <w:r>
        <w:rPr>
          <w:rFonts w:ascii="Georgia" w:cs="Georgia" w:eastAsia="Georgia" w:hAnsi="Georgia"/>
          <w:b/>
          <w:bCs/>
          <w:i w:val="false"/>
          <w:iCs w:val="false"/>
          <w:color w:val="0A1633"/>
          <w:sz w:val="32"/>
          <w:szCs w:val="32"/>
        </w:rPr>
        <w:t xml:space="preserve">7. Planning en contact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00"/>
        <w:gridCol w:w="2400"/>
        <w:gridCol w:w="4438"/>
      </w:tblGrid>
      <w:tr>
        <w:trPr>
          <w:tblHeader/>
        </w:trPr>
        <w:tc>
          <w:tcPr>
            <w:tcW w:type="dxa" w:w="2800"/>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Fase</w:t>
            </w:r>
          </w:p>
        </w:tc>
        <w:tc>
          <w:tcPr>
            <w:tcW w:type="dxa" w:w="2400"/>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Periode</w:t>
            </w:r>
          </w:p>
        </w:tc>
        <w:tc>
          <w:tcPr>
            <w:tcW w:type="dxa" w:w="4438"/>
            <w:tcBorders>
              <w:top w:val="single" w:color="DDDDDD" w:sz="1"/>
              <w:left w:val="single" w:color="DDDDDD" w:sz="1"/>
              <w:bottom w:val="single" w:color="DDDDDD" w:sz="1"/>
              <w:right w:val="single" w:color="DDDDDD" w:sz="1"/>
            </w:tcBorders>
            <w:shd w:fill="3D6DF2" w:val="clear"/>
            <w:tcMar>
              <w:top w:type="dxa" w:w="80"/>
              <w:left w:type="dxa" w:w="120"/>
              <w:bottom w:type="dxa" w:w="80"/>
              <w:right w:type="dxa" w:w="120"/>
            </w:tcMar>
          </w:tcPr>
          <w:p>
            <w:r>
              <w:rPr>
                <w:rFonts w:ascii="Calibri" w:cs="Calibri" w:eastAsia="Calibri" w:hAnsi="Calibri"/>
                <w:b/>
                <w:bCs/>
                <w:i w:val="false"/>
                <w:iCs w:val="false"/>
                <w:color w:val="FFFFFF"/>
                <w:sz w:val="20"/>
                <w:szCs w:val="20"/>
              </w:rPr>
              <w:t xml:space="preserve">Wat</w:t>
            </w:r>
          </w:p>
        </w:tc>
      </w:tr>
      <w:tr>
        <w:trPr>
          <w:tblHeader w:val="false"/>
        </w:trP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1. Inventariseren</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Week 1-2</w:t>
            </w:r>
          </w:p>
        </w:tc>
        <w:tc>
          <w:tcPr>
            <w:tcW w:type="dxa" w:w="4438"/>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Oogstlijst invullen</w:t>
            </w:r>
          </w:p>
        </w:tc>
      </w:tr>
      <w:tr>
        <w:trPr>
          <w:tblHeader w:val="false"/>
        </w:trPr>
        <w:tc>
          <w:tcPr>
            <w:tcW w:type="dxa" w:w="28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2. Aanleveren</w:t>
            </w:r>
          </w:p>
        </w:tc>
        <w:tc>
          <w:tcPr>
            <w:tcW w:type="dxa" w:w="2400"/>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Week 3-4</w:t>
            </w:r>
          </w:p>
        </w:tc>
        <w:tc>
          <w:tcPr>
            <w:tcW w:type="dxa" w:w="4438"/>
            <w:tcBorders>
              <w:top w:val="single" w:color="DDDDDD" w:sz="1"/>
              <w:left w:val="single" w:color="DDDDDD" w:sz="1"/>
              <w:bottom w:val="single" w:color="DDDDDD" w:sz="1"/>
              <w:right w:val="single" w:color="DDDDDD" w:sz="1"/>
            </w:tcBorders>
            <w:shd w:fill="F7F9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Documenten naar de verzamelplek</w:t>
            </w:r>
          </w:p>
        </w:tc>
      </w:tr>
      <w:tr>
        <w:trPr>
          <w:tblHeader w:val="false"/>
        </w:trPr>
        <w:tc>
          <w:tcPr>
            <w:tcW w:type="dxa" w:w="28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3. Beoordelen</w:t>
            </w:r>
          </w:p>
        </w:tc>
        <w:tc>
          <w:tcPr>
            <w:tcW w:type="dxa" w:w="2400"/>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Week 5-6</w:t>
            </w:r>
          </w:p>
        </w:tc>
        <w:tc>
          <w:tcPr>
            <w:tcW w:type="dxa" w:w="4438"/>
            <w:tcBorders>
              <w:top w:val="single" w:color="DDDDDD" w:sz="1"/>
              <w:left w:val="single" w:color="DDDDDD" w:sz="1"/>
              <w:bottom w:val="single" w:color="DDDDDD" w:sz="1"/>
              <w:right w:val="single" w:color="DDDDDD" w:sz="1"/>
            </w:tcBorders>
            <w:shd w:fill="FFFFFF" w:val="clear"/>
            <w:tcMar>
              <w:top w:type="dxa" w:w="80"/>
              <w:left w:type="dxa" w:w="120"/>
              <w:bottom w:type="dxa" w:w="80"/>
              <w:right w:type="dxa" w:w="120"/>
            </w:tcMar>
          </w:tcPr>
          <w:p>
            <w:r>
              <w:rPr>
                <w:rFonts w:ascii="Calibri" w:cs="Calibri" w:eastAsia="Calibri" w:hAnsi="Calibri"/>
                <w:b w:val="false"/>
                <w:bCs w:val="false"/>
                <w:i w:val="false"/>
                <w:iCs w:val="false"/>
                <w:color w:val="1F2637"/>
                <w:sz w:val="20"/>
                <w:szCs w:val="20"/>
              </w:rPr>
              <w:t xml:space="preserve">Curatie, AVG-check, startcorpus kiezen</w:t>
            </w:r>
          </w:p>
        </w:tc>
      </w:tr>
    </w:tbl>
    <w:p>
      <w:pPr>
        <w:spacing w:after="160"/>
      </w:pPr>
    </w:p>
    <w:p>
      <w:pPr>
        <w:spacing w:after="160" w:before="0"/>
        <w:jc w:val="left"/>
      </w:pPr>
      <w:r>
        <w:rPr>
          <w:rFonts w:ascii="Calibri" w:cs="Calibri" w:eastAsia="Calibri" w:hAnsi="Calibri"/>
          <w:b w:val="false"/>
          <w:bCs w:val="false"/>
          <w:i w:val="false"/>
          <w:iCs w:val="false"/>
          <w:color w:val="1F2637"/>
          <w:sz w:val="22"/>
          <w:szCs w:val="22"/>
        </w:rPr>
        <w:t xml:space="preserve">De verzamelplek en startdatum worden bij de aftrap gecommuniceerd. Vragen tijdens de oogst: Edwin Cnossen (edwin.cnossen@embracecloud.nl).</w:t>
      </w:r>
    </w:p>
    <w:sectPr>
      <w:footerReference w:type="default" r:id="rId7"/>
      <w:pgSz w:w="11906" w:h="16838" w:orient="portrait"/>
      <w:pgMar w:top="1134" w:right="1134" w:bottom="1700"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6"/>
      </w:pBdr>
      <w:tabs>
        <w:tab w:val="right" w:pos="9026"/>
      </w:tabs>
      <w:spacing w:before="120"/>
    </w:pPr>
    <w:r>
      <w:rPr>
        <w:rFonts w:ascii="Calibri" w:cs="Calibri" w:eastAsia="Calibri" w:hAnsi="Calibri"/>
        <w:b w:val="false"/>
        <w:bCs w:val="false"/>
        <w:i w:val="false"/>
        <w:iCs w:val="false"/>
        <w:color w:val="ADADAD"/>
        <w:sz w:val="18"/>
        <w:szCs w:val="18"/>
      </w:rPr>
      <w:t xml:space="preserve">Opdracht Kennissponsor</w:t>
    </w:r>
    <w:r>
      <w:rPr>
        <w:rFonts w:ascii="Calibri" w:cs="Calibri" w:eastAsia="Calibri" w:hAnsi="Calibri"/>
        <w:b w:val="false"/>
        <w:bCs w:val="false"/>
        <w:i w:val="false"/>
        <w:iCs w:val="false"/>
        <w:color w:val="1F2637"/>
        <w:sz w:val="18"/>
        <w:szCs w:val="18"/>
      </w:rPr>
      <w:t xml:space="preserve">	</w:t>
    </w:r>
    <w:r>
      <w:rPr>
        <w:rFonts w:ascii="Calibri" w:cs="Calibri" w:eastAsia="Calibri" w:hAnsi="Calibri"/>
        <w:b w:val="false"/>
        <w:bCs w:val="false"/>
        <w:i w:val="false"/>
        <w:iCs w:val="false"/>
        <w:color w:val="ADADAD"/>
        <w:sz w:val="18"/>
        <w:szCs w:val="18"/>
      </w:rPr>
      <w:t xml:space="preserve">Pagina </w:t>
    </w:r>
    <w:r>
      <w:rPr>
        <w:rFonts w:ascii="Calibri" w:cs="Calibri" w:eastAsia="Calibri" w:hAnsi="Calibri"/>
        <w:color w:val="ADADAD"/>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80"/>
        <w:ind w:left="500" w:hanging="260"/>
      </w:pPr>
    </w:lvl>
  </w:abstractNum>
  <w:abstractNum w:abstractNumId="3" w15:restartNumberingAfterBreak="0">
    <w:multiLevelType w:val="hybridMultilevel"/>
    <w:lvl w:ilvl="0" w15:tentative="1">
      <w:start w:val="1"/>
      <w:numFmt w:val="bullet"/>
      <w:lvlText w:val="◦"/>
      <w:lvlJc w:val="left"/>
      <w:pPr>
        <w:spacing w:after="60"/>
        <w:ind w:left="9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00"/>
      <w:outlineLvl w:val="0"/>
    </w:pPr>
    <w:rPr>
      <w:rFonts w:ascii="Georgia" w:cs="Georgia" w:eastAsia="Georgia" w:hAnsi="Georgia"/>
      <w:b/>
      <w:bCs/>
      <w:color w:val="0A1633"/>
      <w:sz w:val="32"/>
      <w:szCs w:val="32"/>
    </w:rPr>
  </w:style>
  <w:style w:type="paragraph" w:styleId="Heading2">
    <w:name w:val="Heading 2"/>
    <w:basedOn w:val="Normal"/>
    <w:next w:val="Normal"/>
    <w:qFormat/>
    <w:pPr>
      <w:spacing w:after="100" w:before="280"/>
      <w:outlineLvl w:val="1"/>
    </w:pPr>
    <w:rPr>
      <w:rFonts w:ascii="Georgia" w:cs="Georgia" w:eastAsia="Georgia" w:hAnsi="Georgia"/>
      <w:b/>
      <w:bCs/>
      <w:color w:val="0A1633"/>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3293d50005a309d4703a62c48a967b251b235cb5.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2026-07-11T13:02:02.608Z</dcterms:created>
  <dcterms:modified xsi:type="dcterms:W3CDTF">2026-07-11T13:02:02.608Z</dcterms:modified>
</cp:coreProperties>
</file>

<file path=docProps/custom.xml><?xml version="1.0" encoding="utf-8"?>
<Properties xmlns="http://schemas.openxmlformats.org/officeDocument/2006/custom-properties" xmlns:vt="http://schemas.openxmlformats.org/officeDocument/2006/docPropsVTypes"/>
</file>